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080" w:top="1080" w:left="1440" w:right="1440" w:header="720" w:footer="720"/>
          <w:pgNumType w:start="1"/>
        </w:sectPr>
      </w:pPr>
      <w:bookmarkStart w:colFirst="0" w:colLast="0" w:name="_ljmvw4ok3pvt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Planning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5oul5rcji3t5" w:id="1"/>
      <w:bookmarkEnd w:id="1"/>
      <w:r w:rsidDel="00000000" w:rsidR="00000000" w:rsidRPr="00000000">
        <w:rPr>
          <w:rtl w:val="0"/>
        </w:rPr>
        <w:t xml:space="preserve">Fullcast Holdout Policy Worksheet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359561</wp:posOffset>
            </wp:positionV>
            <wp:extent cx="5943600" cy="6350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Fullcast’s holdout policy allows you to specify rules for transitioning opportunities when account ownership changes. When a holdout is applied to a given opportunity, a lightning flag appears on the opportunity page layout.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Additionally, a record is created in Fullcast’s Holdout custom object.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Opportunities are evaluated in this order: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Exempt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(dropped out), then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Eligible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(considered for holdout), then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Ineligible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(transferred immediately). Answer the following questions to prepare for configuring your holdout policy in Fullcast. </w:t>
      </w:r>
    </w:p>
    <w:p w:rsidR="00000000" w:rsidDel="00000000" w:rsidP="00000000" w:rsidRDefault="00000000" w:rsidRPr="00000000" w14:paraId="00000006">
      <w:pPr>
        <w:pStyle w:val="Heading2"/>
        <w:spacing w:after="0" w:lineRule="auto"/>
        <w:rPr/>
      </w:pPr>
      <w:bookmarkStart w:colFirst="0" w:colLast="0" w:name="_qd6hl9a391na" w:id="2"/>
      <w:bookmarkEnd w:id="2"/>
      <w:r w:rsidDel="00000000" w:rsidR="00000000" w:rsidRPr="00000000">
        <w:rPr>
          <w:rtl w:val="0"/>
        </w:rPr>
        <w:t xml:space="preserve">Exempt Opportunities</w:t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Identify opportunities that will NOT be considered for holdouts under the policy. </w:t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Holdout Selection Criteria: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What criteria make an opportunity exempt (excluded) from this policy, regardless of any other eligibility?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Current and Outgoing Owner Must Match: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Should this policy only apply if the Current and Outgoing Owner are the same user?</w:t>
      </w:r>
    </w:p>
    <w:p w:rsidR="00000000" w:rsidDel="00000000" w:rsidP="00000000" w:rsidRDefault="00000000" w:rsidRPr="00000000" w14:paraId="0000000B">
      <w:pPr>
        <w:pStyle w:val="Heading2"/>
        <w:spacing w:after="0" w:lineRule="auto"/>
        <w:rPr/>
      </w:pPr>
      <w:bookmarkStart w:colFirst="0" w:colLast="0" w:name="_e6umwispe17a" w:id="3"/>
      <w:bookmarkEnd w:id="3"/>
      <w:r w:rsidDel="00000000" w:rsidR="00000000" w:rsidRPr="00000000">
        <w:rPr>
          <w:rtl w:val="0"/>
        </w:rPr>
        <w:t xml:space="preserve">Eligible Opportunities</w:t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Identify opportunities that will be considered for holdouts under the policy. </w:t>
      </w:r>
    </w:p>
    <w:p w:rsidR="00000000" w:rsidDel="00000000" w:rsidP="00000000" w:rsidRDefault="00000000" w:rsidRPr="00000000" w14:paraId="0000000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Holdout Selection Criteria: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What criteria must an opportunity meet to be eligible for the automated holdout process?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Holdout Restrictions (Optional):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Do you need to limit the total number of holdout opportunities any single rep can possess at one time?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Holdout Restrictions - Sort By and Order By (If Limited):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How should the system Sort By and Order By opportunities to decide which ones are immediately transferred?</w:t>
      </w:r>
    </w:p>
    <w:p w:rsidR="00000000" w:rsidDel="00000000" w:rsidP="00000000" w:rsidRDefault="00000000" w:rsidRPr="00000000" w14:paraId="0000001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bookmarkStart w:colFirst="0" w:colLast="0" w:name="_skcuw4lpyu02" w:id="4"/>
      <w:bookmarkEnd w:id="4"/>
      <w:r w:rsidDel="00000000" w:rsidR="00000000" w:rsidRPr="00000000">
        <w:rPr>
          <w:rtl w:val="0"/>
        </w:rPr>
        <w:t xml:space="preserve">Participant Selection Period (Optional)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Determine whether to allow a period of time for account owners to select which opportunities to hold out.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Participant Selection Period: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Do you want to allow a “selection period” during which reps can select which opportunities they want to hold out?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Selected Holdout Filtering: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(If #6 is ON) What field (e.g., a checkbox) will the rep use to designate opportunities they want to keep?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bookmarkStart w:colFirst="0" w:colLast="0" w:name="_iv8ddiha20oe" w:id="5"/>
      <w:bookmarkEnd w:id="5"/>
      <w:r w:rsidDel="00000000" w:rsidR="00000000" w:rsidRPr="00000000">
        <w:rPr>
          <w:rtl w:val="0"/>
        </w:rPr>
        <w:t xml:space="preserve">Holdout Expiration </w:t>
      </w:r>
    </w:p>
    <w:p w:rsidR="00000000" w:rsidDel="00000000" w:rsidP="00000000" w:rsidRDefault="00000000" w:rsidRPr="00000000" w14:paraId="00000017">
      <w:pPr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Determine when the holdout expires and what will happen to the holdout and opportunities when the expiration occurs. </w:t>
      </w:r>
    </w:p>
    <w:p w:rsidR="00000000" w:rsidDel="00000000" w:rsidP="00000000" w:rsidRDefault="00000000" w:rsidRPr="00000000" w14:paraId="0000001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Holdout Expiration Timeframe: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How long should the opportunity remain in the final holdout state? (in Days, Quarter, Half, Year)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Expiration Action: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What happens if the opportunity is still open when the holdout expires? (Select one: Assign to current account owner or Reassign to a specific role)</w:t>
      </w:r>
    </w:p>
    <w:p w:rsidR="00000000" w:rsidDel="00000000" w:rsidP="00000000" w:rsidRDefault="00000000" w:rsidRPr="00000000" w14:paraId="0000001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bookmarkStart w:colFirst="0" w:colLast="0" w:name="_aemldj8hag0t" w:id="6"/>
      <w:bookmarkEnd w:id="6"/>
      <w:r w:rsidDel="00000000" w:rsidR="00000000" w:rsidRPr="00000000">
        <w:rPr>
          <w:rtl w:val="0"/>
        </w:rPr>
        <w:t xml:space="preserve">Updating Holdout Owners (Optional)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Designate ownership roles and members.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Create Opportunity Team Members: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Should the holdout owner be added as a member of the Opportunity Team?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Team Role: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If yes to above, what role should the new opportunity owner be given on the account team?</w:t>
      </w:r>
    </w:p>
    <w:p w:rsidR="00000000" w:rsidDel="00000000" w:rsidP="00000000" w:rsidRDefault="00000000" w:rsidRPr="00000000" w14:paraId="0000002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bookmarkStart w:colFirst="0" w:colLast="0" w:name="_6w79nqc9okt" w:id="7"/>
      <w:bookmarkEnd w:id="7"/>
      <w:r w:rsidDel="00000000" w:rsidR="00000000" w:rsidRPr="00000000">
        <w:rPr>
          <w:rtl w:val="0"/>
        </w:rPr>
        <w:t xml:space="preserve">Updating Fields (Optional)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Specify which fields on the opportunity and holdout records to update, and what values to fill. 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Updating Fields: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What fields on the holdout and/or opportunity records would you like to update? Choose from values on either the holdout, policy status, or opportunity records.</w:t>
      </w:r>
    </w:p>
    <w:p w:rsidR="00000000" w:rsidDel="00000000" w:rsidP="00000000" w:rsidRDefault="00000000" w:rsidRPr="00000000" w14:paraId="0000002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bookmarkStart w:colFirst="0" w:colLast="0" w:name="_9vmazkjd321c" w:id="8"/>
      <w:bookmarkEnd w:id="8"/>
      <w:r w:rsidDel="00000000" w:rsidR="00000000" w:rsidRPr="00000000">
        <w:rPr>
          <w:rtl w:val="0"/>
        </w:rPr>
        <w:t xml:space="preserve">Opportunity Splits (Optional)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Choose whether to allocate opportunity splits between the outgoing and new owners. Percent splits between outgoing owner and new owner must add up to 100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Hold Out Start: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How is the split determined when the holdout begins? That is, if the deal closes during the holdout period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Expiration/Transfer Split: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How is the split determined when the holdout expires or transfers?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I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mmediate Transfer Split: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How is the split determined if the opportunity is immediately transferred (not held out)?</w:t>
      </w:r>
    </w:p>
    <w:p w:rsidR="00000000" w:rsidDel="00000000" w:rsidP="00000000" w:rsidRDefault="00000000" w:rsidRPr="00000000" w14:paraId="0000002A">
      <w:pPr>
        <w:pStyle w:val="Heading2"/>
        <w:spacing w:after="240" w:lineRule="auto"/>
        <w:rPr/>
      </w:pPr>
      <w:bookmarkStart w:colFirst="0" w:colLast="0" w:name="_wqww4oh8e3g6" w:id="9"/>
      <w:bookmarkEnd w:id="9"/>
      <w:r w:rsidDel="00000000" w:rsidR="00000000" w:rsidRPr="00000000">
        <w:rPr>
          <w:rtl w:val="0"/>
        </w:rPr>
        <w:t xml:space="preserve">Ineligible Opportunities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Account Ownership: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What do you want to do with opportunities that end up being ineligible?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Updating Holdout Owners: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For holdouts, do you want to create an opportunity team member? If so, what role will the holdout owner have on the opportunity team?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Updating Fields 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List any Opportunity Fields that must be updated when this policy is applied.</w:t>
      </w:r>
    </w:p>
    <w:p w:rsidR="00000000" w:rsidDel="00000000" w:rsidP="00000000" w:rsidRDefault="00000000" w:rsidRPr="00000000" w14:paraId="0000002E">
      <w:pPr>
        <w:pStyle w:val="Heading2"/>
        <w:spacing w:after="240" w:lineRule="auto"/>
        <w:rPr/>
      </w:pPr>
      <w:bookmarkStart w:colFirst="0" w:colLast="0" w:name="_yheffxazli2a" w:id="10"/>
      <w:bookmarkEnd w:id="10"/>
      <w:r w:rsidDel="00000000" w:rsidR="00000000" w:rsidRPr="00000000">
        <w:rPr>
          <w:rtl w:val="0"/>
        </w:rPr>
        <w:t xml:space="preserve">Fallbacks &amp; Defaults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Select Default User: 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If something happens and we can’t transfer the opportunity to the person according to the policy, who should we transfer it to?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ind w:left="720" w:hanging="360"/>
        <w:rPr>
          <w:rFonts w:ascii="Proxima Nova" w:cs="Proxima Nova" w:eastAsia="Proxima Nova" w:hAnsi="Proxima Nova"/>
          <w:color w:val="1b1c1d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type w:val="nextPage"/>
          <w:pgSz w:h="15840" w:w="12240" w:orient="portrait"/>
          <w:pgMar w:bottom="1080" w:top="1080" w:left="1440" w:right="1440" w:header="720" w:footer="720"/>
          <w:pgNumType w:start="1"/>
          <w:titlePg w:val="1"/>
        </w:sect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b1c1d"/>
          <w:rtl w:val="0"/>
        </w:rPr>
        <w:t xml:space="preserve">Multiple Ownership Changes:</w:t>
      </w: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 If the account ends up changing hands after the holdout is created/starts, what do you want to do? (Keep existing holdout record OR overwrite the existing holdout.)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11" w:type="default"/>
          <w:headerReference r:id="rId12" w:type="first"/>
          <w:footerReference r:id="rId13" w:type="default"/>
          <w:footerReference r:id="rId14" w:type="firs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5av3p66v0hdw" w:id="11"/>
      <w:bookmarkEnd w:id="1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Example of Planning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color w:val="1b1c1d"/>
          <w:sz w:val="34"/>
          <w:szCs w:val="34"/>
        </w:rPr>
      </w:pPr>
      <w:bookmarkStart w:colFirst="0" w:colLast="0" w:name="_kohtymlg3cme" w:id="12"/>
      <w:bookmarkEnd w:id="12"/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34"/>
          <w:szCs w:val="34"/>
          <w:rtl w:val="0"/>
        </w:rPr>
        <w:t xml:space="preserve">EXAMPLE ✅ Holdout Policy Pre-Configuration Worksheet: Opportunity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Fonts w:ascii="Proxima Nova" w:cs="Proxima Nova" w:eastAsia="Proxima Nova" w:hAnsi="Proxima Nova"/>
          <w:color w:val="1b1c1d"/>
          <w:rtl w:val="0"/>
        </w:rPr>
        <w:t xml:space="preserve">Here is an example of a policy written out and how it would be configured in Fullcast. </w:t>
      </w:r>
    </w:p>
    <w:tbl>
      <w:tblPr>
        <w:tblStyle w:val="Table1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3240"/>
        <w:gridCol w:w="3915"/>
        <w:tblGridChange w:id="0">
          <w:tblGrid>
            <w:gridCol w:w="1620"/>
            <w:gridCol w:w="3240"/>
            <w:gridCol w:w="391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pStyle w:val="Heading2"/>
              <w:rPr/>
            </w:pPr>
            <w:bookmarkStart w:colFirst="0" w:colLast="0" w:name="_2zh15h1zftwb" w:id="13"/>
            <w:bookmarkEnd w:id="13"/>
            <w:r w:rsidDel="00000000" w:rsidR="00000000" w:rsidRPr="00000000">
              <w:rPr>
                <w:rtl w:val="0"/>
              </w:rPr>
              <w:t xml:space="preserve">Exempt Opportunities</w:t>
            </w:r>
          </w:p>
        </w:tc>
      </w:tr>
      <w:tr>
        <w:trPr>
          <w:cantSplit w:val="0"/>
          <w:trHeight w:val="1352.616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Holdout Selection Criteria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What criteria make an opportunity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exempt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(excluded) from this policy,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regardless of any other eligibility?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Renewals are exempt.</w:t>
            </w:r>
          </w:p>
        </w:tc>
      </w:tr>
      <w:tr>
        <w:trPr>
          <w:cantSplit w:val="0"/>
          <w:trHeight w:val="1352.616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Current and Outgoing Owner Must Match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Should this policy only apply if the opportunity owner,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current account owner and outgoing Owner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are the same user?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D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Yes</w:t>
            </w:r>
          </w:p>
        </w:tc>
      </w:tr>
      <w:tr>
        <w:trPr>
          <w:cantSplit w:val="0"/>
          <w:trHeight w:val="479.4026270971865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1b1c1d"/>
              </w:rPr>
            </w:pPr>
            <w:bookmarkStart w:colFirst="0" w:colLast="0" w:name="_nzvmjmezplq6" w:id="14"/>
            <w:bookmarkEnd w:id="14"/>
            <w:r w:rsidDel="00000000" w:rsidR="00000000" w:rsidRPr="00000000">
              <w:rPr>
                <w:color w:val="1b1c1d"/>
              </w:rPr>
              <w:drawing>
                <wp:inline distB="114300" distT="114300" distL="114300" distR="114300">
                  <wp:extent cx="5353050" cy="2425700"/>
                  <wp:effectExtent b="0" l="0" r="0" t="0"/>
                  <wp:docPr id="14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2425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4026270971865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1">
            <w:pPr>
              <w:pStyle w:val="Heading2"/>
              <w:rPr/>
            </w:pPr>
            <w:bookmarkStart w:colFirst="0" w:colLast="0" w:name="_xayf5llqw190" w:id="15"/>
            <w:bookmarkEnd w:id="15"/>
            <w:r w:rsidDel="00000000" w:rsidR="00000000" w:rsidRPr="00000000">
              <w:rPr>
                <w:rtl w:val="0"/>
              </w:rPr>
              <w:t xml:space="preserve">Eligible Opportunities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Holdout Selection Criteria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What criteria must an opportunity meet to be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eligible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for the automated holdout process? (Mandatory field.)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6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The opportunity type must not be a Renewal. The opportunity amount must be $50K or greater.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The close date must be before June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92529296875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53050" cy="1612900"/>
                  <wp:effectExtent b="0" l="0" r="0" t="0"/>
                  <wp:docPr id="16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161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92529296875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A">
            <w:pPr>
              <w:pStyle w:val="Heading3"/>
              <w:rPr/>
            </w:pPr>
            <w:bookmarkStart w:colFirst="0" w:colLast="0" w:name="_tewsmwn0z7rb" w:id="16"/>
            <w:bookmarkEnd w:id="16"/>
            <w:r w:rsidDel="00000000" w:rsidR="00000000" w:rsidRPr="00000000">
              <w:rPr>
                <w:rtl w:val="0"/>
              </w:rPr>
              <w:t xml:space="preserve">Holdout Restrictions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D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Holdout Restrictions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E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Do you need to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limit the total number of holdout opportunities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any single rep can possess at one time?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Yes, limit the total number of holdout opportunities to 10 per user.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Holdout Restrictions - Sort By and Order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(If Limited) How should the system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Sort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and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Order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opportunities to decide which ones are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immediately transferred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The system should sort by the Opportunity Amount. The order should be the smallest value opportunity will be transferred first.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3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53050" cy="1168400"/>
                  <wp:effectExtent b="0" l="0" r="0" t="0"/>
                  <wp:docPr id="2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6">
            <w:pPr>
              <w:pStyle w:val="Heading3"/>
              <w:rPr/>
            </w:pPr>
            <w:bookmarkStart w:colFirst="0" w:colLast="0" w:name="_uy3e0w6lpr3c" w:id="17"/>
            <w:bookmarkEnd w:id="17"/>
            <w:r w:rsidDel="00000000" w:rsidR="00000000" w:rsidRPr="00000000">
              <w:rPr>
                <w:rtl w:val="0"/>
              </w:rPr>
              <w:t xml:space="preserve">Participant Selection Period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9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Participant Selection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A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Do you want to use a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rep-driven interim selection period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before applying the final holdout?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Yes, a rep-driven interim selection period will be used. The period will last for seven days.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C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Selected Holdout Filtering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D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(If Period is ON) What field (e.g., a checkbox) will the rep use to designate opportunities they want to keep?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The rep will use the custom checkbox field called Keep Opportunity. The value for selection will be True.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F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43525" cy="2260600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226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2">
            <w:pPr>
              <w:pStyle w:val="Heading3"/>
              <w:rPr/>
            </w:pPr>
            <w:bookmarkStart w:colFirst="0" w:colLast="0" w:name="_q9mgs9bo78db" w:id="18"/>
            <w:bookmarkEnd w:id="18"/>
            <w:r w:rsidDel="00000000" w:rsidR="00000000" w:rsidRPr="00000000">
              <w:rPr>
                <w:rtl w:val="0"/>
              </w:rPr>
              <w:t xml:space="preserve">Holdout Expiration 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5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Holdout Expiration Timeframe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6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How long should the opportunity remain in the final holdout state? (in Days, Quarter, Half, Year) 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7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The opportunity should remain in the final holdout state for forty-five days.</w:t>
            </w:r>
          </w:p>
        </w:tc>
      </w:tr>
      <w:tr>
        <w:trPr>
          <w:cantSplit w:val="0"/>
          <w:trHeight w:val="2307.077999999999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8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Expiration Action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9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What happens if the opportunity is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still open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when the holdout expires? (Select one)</w:t>
              <w:br w:type="textWrapping"/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Assign to current account owner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Reassign to a specific role?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A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When the holdout expires, the opportunity should be assigned to the Current Account Owner.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B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43525" cy="2006600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2006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154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E">
            <w:pPr>
              <w:pStyle w:val="Heading3"/>
              <w:rPr/>
            </w:pPr>
            <w:bookmarkStart w:colFirst="0" w:colLast="0" w:name="_lh89ts2wv8qs" w:id="19"/>
            <w:bookmarkEnd w:id="19"/>
            <w:r w:rsidDel="00000000" w:rsidR="00000000" w:rsidRPr="00000000">
              <w:rPr>
                <w:rtl w:val="0"/>
              </w:rPr>
              <w:t xml:space="preserve">Updating Holdout Owners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1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Create Opportunity Team Members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2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Should the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holdout owner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be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added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as a member of the Opportunity Team? If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Yes, the holdout owner should be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added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to the Opportunity Team.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4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Team Role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5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If yes to above, what role should the new oppty owner be 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6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Account Executive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7">
            <w:pPr>
              <w:pStyle w:val="Heading3"/>
              <w:rPr/>
            </w:pPr>
            <w:bookmarkStart w:colFirst="0" w:colLast="0" w:name="_u84ix2cj6h7e" w:id="20"/>
            <w:bookmarkEnd w:id="20"/>
            <w:r w:rsidDel="00000000" w:rsidR="00000000" w:rsidRPr="00000000">
              <w:rPr/>
              <w:drawing>
                <wp:inline distB="114300" distT="114300" distL="114300" distR="114300">
                  <wp:extent cx="5343525" cy="1003300"/>
                  <wp:effectExtent b="0" l="0" r="0" t="0"/>
                  <wp:docPr id="3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A">
            <w:pPr>
              <w:pStyle w:val="Heading3"/>
              <w:rPr/>
            </w:pPr>
            <w:bookmarkStart w:colFirst="0" w:colLast="0" w:name="_u84ix2cj6h7e" w:id="20"/>
            <w:bookmarkEnd w:id="20"/>
            <w:r w:rsidDel="00000000" w:rsidR="00000000" w:rsidRPr="00000000">
              <w:rPr>
                <w:rtl w:val="0"/>
              </w:rPr>
              <w:t xml:space="preserve">Update Fields</w:t>
            </w:r>
            <w:r w:rsidDel="00000000" w:rsidR="00000000" w:rsidRPr="00000000">
              <w:rPr>
                <w:rtl w:val="0"/>
              </w:rPr>
              <w:t xml:space="preserve"> (Optional)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D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Update Fields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E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Which fields on the opportunity to update, and what values to fill. 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7F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Update the opportunity status to indicate that it is currently in a holdout. 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0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43525" cy="12065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1206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rPr>
          <w:rFonts w:ascii="Proxima Nova" w:cs="Proxima Nova" w:eastAsia="Proxima Nova" w:hAnsi="Proxima Nova"/>
          <w:color w:val="1b1c1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5"/>
        <w:gridCol w:w="2865"/>
        <w:gridCol w:w="1245"/>
        <w:gridCol w:w="2175"/>
        <w:tblGridChange w:id="0">
          <w:tblGrid>
            <w:gridCol w:w="2475"/>
            <w:gridCol w:w="2865"/>
            <w:gridCol w:w="1245"/>
            <w:gridCol w:w="217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4">
            <w:pPr>
              <w:pStyle w:val="Heading3"/>
              <w:rPr/>
            </w:pPr>
            <w:bookmarkStart w:colFirst="0" w:colLast="0" w:name="_jqr1uoxqt65l" w:id="21"/>
            <w:bookmarkEnd w:id="21"/>
            <w:r w:rsidDel="00000000" w:rsidR="00000000" w:rsidRPr="00000000">
              <w:rPr>
                <w:rtl w:val="0"/>
              </w:rPr>
              <w:t xml:space="preserve">Opportunity Splits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8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9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A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Current Owner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B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New owner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C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Hold Out Start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D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How is the split determined when the holdout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begins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? That is, if the deal closes during the holdout period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E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90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F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10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0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Expiration/Transfer Split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1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How is the split determined when the holdout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expires or transfers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2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25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3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75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4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Immediate Transfer Split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5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How is the split determined if the opportunity is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immediately transferred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 (not held out)?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6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10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7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90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8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</w:rPr>
              <w:drawing>
                <wp:inline distB="114300" distT="114300" distL="114300" distR="114300">
                  <wp:extent cx="5334000" cy="2425700"/>
                  <wp:effectExtent b="0" l="0" r="0" t="0"/>
                  <wp:docPr id="1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2425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C">
            <w:pPr>
              <w:pStyle w:val="Heading2"/>
              <w:spacing w:after="480" w:lineRule="auto"/>
              <w:rPr/>
            </w:pPr>
            <w:bookmarkStart w:colFirst="0" w:colLast="0" w:name="_rmx5qxcvsjdd" w:id="22"/>
            <w:bookmarkEnd w:id="22"/>
            <w:r w:rsidDel="00000000" w:rsidR="00000000" w:rsidRPr="00000000">
              <w:rPr>
                <w:rtl w:val="0"/>
              </w:rPr>
              <w:t xml:space="preserve">Ineligible Opportunities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0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Account Ownership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1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What do you want to do with opportunities that end up being ineligible? </w:t>
            </w:r>
          </w:p>
        </w:tc>
        <w:tc>
          <w:tcPr>
            <w:gridSpan w:val="2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2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Assign to the Account Executive on the Account Team 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4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34000" cy="2044700"/>
                  <wp:effectExtent b="0" l="0" r="0" t="0"/>
                  <wp:docPr id="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2044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8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Updating Holdout Owners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9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For holdouts, do you want to create an opportunity team member? If so, what role will the holdout owner have on the oppty team? </w:t>
            </w:r>
          </w:p>
        </w:tc>
        <w:tc>
          <w:tcPr>
            <w:gridSpan w:val="2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A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C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34000" cy="1206500"/>
                  <wp:effectExtent b="0" l="0" r="0" t="0"/>
                  <wp:docPr id="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1206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0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Updating Fields 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List any Opportunity Fields that must be updated when this policy is applied.</w:t>
            </w:r>
          </w:p>
        </w:tc>
        <w:tc>
          <w:tcPr>
            <w:gridSpan w:val="2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2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Don’t update any fields on opportunities that don’t get holdouts. 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4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34000" cy="1155700"/>
                  <wp:effectExtent b="0" l="0" r="0" t="0"/>
                  <wp:docPr id="7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1155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8">
            <w:pPr>
              <w:pStyle w:val="Heading2"/>
              <w:spacing w:after="480" w:lineRule="auto"/>
              <w:rPr/>
            </w:pPr>
            <w:bookmarkStart w:colFirst="0" w:colLast="0" w:name="_ycg958odyi0w" w:id="23"/>
            <w:bookmarkEnd w:id="23"/>
            <w:r w:rsidDel="00000000" w:rsidR="00000000" w:rsidRPr="00000000">
              <w:rPr>
                <w:rtl w:val="0"/>
              </w:rPr>
              <w:t xml:space="preserve">Fallbacks &amp; Defaults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C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Select Default User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If something happens and we can’t figure out who we’re supposed to transfer the oppty to, who should we transfer it to?</w:t>
            </w:r>
          </w:p>
        </w:tc>
        <w:tc>
          <w:tcPr>
            <w:gridSpan w:val="2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E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Integration User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C0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029200" cy="990600"/>
                  <wp:effectExtent b="0" l="0" r="0" t="0"/>
                  <wp:docPr id="1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C4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Multiple ownership changes 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t xml:space="preserve">If the account ends up changing hands after the holdout is created/starts, what do you want to do?</w:t>
            </w:r>
          </w:p>
        </w:tc>
        <w:tc>
          <w:tcPr>
            <w:gridSpan w:val="2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C6">
            <w:pPr>
              <w:spacing w:after="480" w:line="276" w:lineRule="auto"/>
              <w:rPr>
                <w:rFonts w:ascii="Proxima Nova" w:cs="Proxima Nova" w:eastAsia="Proxima Nova" w:hAnsi="Proxima Nova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  <w:rtl w:val="0"/>
              </w:rPr>
              <w:t xml:space="preserve">Keep the existing holdout</w:t>
            </w:r>
            <w:r w:rsidDel="00000000" w:rsidR="00000000" w:rsidRPr="00000000">
              <w:rPr>
                <w:rFonts w:ascii="Proxima Nova" w:cs="Proxima Nova" w:eastAsia="Proxima Nova" w:hAnsi="Proxima Nova"/>
                <w:color w:val="1b1c1d"/>
                <w:rtl w:val="0"/>
              </w:rPr>
              <w:br w:type="textWrapping"/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4"/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C8">
            <w:pPr>
              <w:spacing w:after="480" w:line="276" w:lineRule="auto"/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color w:val="1b1c1d"/>
              </w:rPr>
              <w:drawing>
                <wp:inline distB="114300" distT="114300" distL="114300" distR="114300">
                  <wp:extent cx="5334000" cy="1536700"/>
                  <wp:effectExtent b="0" l="0" r="0" t="0"/>
                  <wp:docPr id="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153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/>
      </w:pPr>
      <w:bookmarkStart w:colFirst="0" w:colLast="0" w:name="_u73igi87l6dy" w:id="24"/>
      <w:bookmarkEnd w:id="24"/>
      <w:r w:rsidDel="00000000" w:rsidR="00000000" w:rsidRPr="00000000">
        <w:rPr>
          <w:rtl w:val="0"/>
        </w:rPr>
      </w:r>
    </w:p>
    <w:sectPr>
      <w:headerReference r:id="rId28" w:type="default"/>
      <w:headerReference r:id="rId29" w:type="first"/>
      <w:footerReference r:id="rId30" w:type="default"/>
      <w:footerReference r:id="rId31" w:type="first"/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1851991" cy="495300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1991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-333374</wp:posOffset>
          </wp:positionV>
          <wp:extent cx="704850" cy="628650"/>
          <wp:effectExtent b="0" l="0" r="0" t="0"/>
          <wp:wrapNone/>
          <wp:docPr id="1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40909" l="36309" r="37651" t="0"/>
                  <a:stretch>
                    <a:fillRect/>
                  </a:stretch>
                </pic:blipFill>
                <pic:spPr>
                  <a:xfrm>
                    <a:off x="0" y="0"/>
                    <a:ext cx="704850" cy="628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20" w:line="276" w:lineRule="auto"/>
    </w:pPr>
    <w:rPr>
      <w:rFonts w:ascii="Proxima Nova" w:cs="Proxima Nova" w:eastAsia="Proxima Nova" w:hAnsi="Proxima Nova"/>
      <w:b w:val="1"/>
      <w:bCs w:val="1"/>
      <w:color w:val="1b1c1d"/>
      <w:sz w:val="50"/>
      <w:szCs w:val="50"/>
    </w:rPr>
  </w:style>
  <w:style w:type="paragraph" w:styleId="Heading2">
    <w:name w:val="heading 2"/>
    <w:basedOn w:val="Normal"/>
    <w:next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20" w:line="276" w:lineRule="auto"/>
    </w:pPr>
    <w:rPr>
      <w:rFonts w:ascii="Proxima Nova" w:cs="Proxima Nova" w:eastAsia="Proxima Nova" w:hAnsi="Proxima Nova"/>
      <w:b w:val="1"/>
      <w:bCs w:val="1"/>
      <w:color w:val="0b5394"/>
      <w:sz w:val="36"/>
      <w:szCs w:val="36"/>
    </w:rPr>
  </w:style>
  <w:style w:type="paragraph" w:styleId="Heading3">
    <w:name w:val="heading 3"/>
    <w:basedOn w:val="Normal"/>
    <w:next w:val="Normal"/>
    <w:pPr>
      <w:spacing w:after="480" w:line="276" w:lineRule="auto"/>
    </w:pPr>
    <w:rPr>
      <w:rFonts w:ascii="Proxima Nova" w:cs="Proxima Nova" w:eastAsia="Proxima Nova" w:hAnsi="Proxima Nova"/>
      <w:b w:val="1"/>
      <w:bCs w:val="1"/>
      <w:color w:val="38761d"/>
      <w:sz w:val="26"/>
      <w:szCs w:val="26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8.png"/><Relationship Id="rId21" Type="http://schemas.openxmlformats.org/officeDocument/2006/relationships/image" Target="media/image5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26" Type="http://schemas.openxmlformats.org/officeDocument/2006/relationships/image" Target="media/image4.png"/><Relationship Id="rId25" Type="http://schemas.openxmlformats.org/officeDocument/2006/relationships/image" Target="media/image14.png"/><Relationship Id="rId28" Type="http://schemas.openxmlformats.org/officeDocument/2006/relationships/header" Target="header6.xml"/><Relationship Id="rId27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eader" Target="header5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31" Type="http://schemas.openxmlformats.org/officeDocument/2006/relationships/footer" Target="footer6.xml"/><Relationship Id="rId30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5" Type="http://schemas.openxmlformats.org/officeDocument/2006/relationships/image" Target="media/image16.png"/><Relationship Id="rId14" Type="http://schemas.openxmlformats.org/officeDocument/2006/relationships/footer" Target="footer4.xml"/><Relationship Id="rId17" Type="http://schemas.openxmlformats.org/officeDocument/2006/relationships/image" Target="media/image15.png"/><Relationship Id="rId16" Type="http://schemas.openxmlformats.org/officeDocument/2006/relationships/image" Target="media/image13.png"/><Relationship Id="rId19" Type="http://schemas.openxmlformats.org/officeDocument/2006/relationships/image" Target="media/image7.png"/><Relationship Id="rId1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